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329" w:rsidRPr="00147329" w:rsidRDefault="00147329" w:rsidP="00CB16FA">
      <w:pPr>
        <w:tabs>
          <w:tab w:val="num" w:pos="900"/>
        </w:tabs>
        <w:jc w:val="both"/>
        <w:rPr>
          <w:rFonts w:ascii="Times New Roman" w:eastAsia="TimesNewRomanPSMT" w:hAnsi="Times New Roman"/>
          <w:color w:val="000000"/>
          <w:szCs w:val="24"/>
        </w:rPr>
      </w:pPr>
      <w:bookmarkStart w:id="0" w:name="_GoBack"/>
      <w:bookmarkEnd w:id="0"/>
      <w:r w:rsidRPr="00147329">
        <w:rPr>
          <w:rFonts w:ascii="Times New Roman" w:eastAsia="TimesNewRomanPSMT" w:hAnsi="Times New Roman"/>
          <w:color w:val="000000"/>
          <w:szCs w:val="24"/>
        </w:rPr>
        <w:t>1. Yükseklik korkunuz, tansiyonunuz, şeker, baş dönmesi gibi rahatsızlıklarınız varsa yüksekte çalışma yapmayın.</w:t>
      </w:r>
    </w:p>
    <w:p w:rsidR="00147329" w:rsidRPr="00147329" w:rsidRDefault="00147329" w:rsidP="00CB16FA">
      <w:pPr>
        <w:tabs>
          <w:tab w:val="num" w:pos="900"/>
        </w:tabs>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2. Yüksekliği tabandan 3 metreden daha fazla olan ve düşme veya kayma tehlikesi bulunan yerlerde güvenlik kemeri kullanın.</w:t>
      </w:r>
    </w:p>
    <w:p w:rsidR="00147329" w:rsidRPr="00147329" w:rsidRDefault="00147329" w:rsidP="00CB16FA">
      <w:pPr>
        <w:tabs>
          <w:tab w:val="num" w:pos="900"/>
        </w:tabs>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3. Güvenlik kemeri kullandığınız takdirde, güvenlik kemerinin halatını güvenli bir yere bağlayın.</w:t>
      </w:r>
    </w:p>
    <w:p w:rsidR="00147329" w:rsidRPr="00147329" w:rsidRDefault="00147329" w:rsidP="00CB16FA">
      <w:pPr>
        <w:tabs>
          <w:tab w:val="num" w:pos="900"/>
        </w:tabs>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4. Çalışmaya başlamadan önce güvenlik kemerinin nasıl ve nereye bağlanacağını öğrenin.</w:t>
      </w:r>
    </w:p>
    <w:p w:rsidR="00147329" w:rsidRPr="00147329" w:rsidRDefault="00147329" w:rsidP="00CB16FA">
      <w:pPr>
        <w:tabs>
          <w:tab w:val="num" w:pos="900"/>
        </w:tabs>
        <w:jc w:val="both"/>
        <w:rPr>
          <w:rFonts w:ascii="Times New Roman" w:eastAsia="TimesNewRomanPSMT" w:hAnsi="Times New Roman"/>
          <w:color w:val="000000"/>
          <w:szCs w:val="24"/>
        </w:rPr>
      </w:pPr>
    </w:p>
    <w:p w:rsidR="00147329" w:rsidRPr="00147329" w:rsidRDefault="00147329" w:rsidP="00CB16FA">
      <w:pPr>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5. Yüksekte yapacağınız çalışmalarda, çalışmaya başlamadan önce çalışılacak alanı kontrol edin ve tehlike gördüğünüz takdirde gerekli tedbirleri almadan veya aldırmadan çalışma yapmayın.</w:t>
      </w:r>
    </w:p>
    <w:p w:rsidR="00147329" w:rsidRPr="00147329" w:rsidRDefault="00147329" w:rsidP="00CB16FA">
      <w:pPr>
        <w:tabs>
          <w:tab w:val="num" w:pos="900"/>
        </w:tabs>
        <w:ind w:left="714"/>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6. Çalıştığınız yerde korkuluk olmasına rağmen işin gereklerinden kaynaklanan sebepler nedeniyle halen düşme tehlikesi hissediyorsanız güvenlik kemeri kullanın.</w:t>
      </w:r>
    </w:p>
    <w:p w:rsidR="00147329" w:rsidRPr="00147329" w:rsidRDefault="00147329" w:rsidP="00CB16FA">
      <w:pPr>
        <w:tabs>
          <w:tab w:val="num" w:pos="900"/>
        </w:tabs>
        <w:ind w:left="714"/>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7. Yüksekte yapılan çalışmalarda kullandığınız malzeme ve aletlerin düşmemesi için gerekli önlemleri alın.</w:t>
      </w:r>
    </w:p>
    <w:p w:rsidR="00147329" w:rsidRPr="00147329" w:rsidRDefault="00147329" w:rsidP="00CB16FA">
      <w:pPr>
        <w:tabs>
          <w:tab w:val="num" w:pos="900"/>
        </w:tabs>
        <w:ind w:left="714"/>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8. Yukarıdan aşağıya hiçbir zaman malzeme, alet atmayın.</w:t>
      </w:r>
    </w:p>
    <w:p w:rsidR="00147329" w:rsidRPr="00147329" w:rsidRDefault="00147329" w:rsidP="00CB16FA">
      <w:pPr>
        <w:tabs>
          <w:tab w:val="num" w:pos="900"/>
        </w:tabs>
        <w:ind w:left="714"/>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9. Yüksekte yapılan çalışmalarda kullandığınız malzeme ve aletleri iş bitiminde uygun bir şekilde aşağıya indirin veya düşmeyecek şekilde yerleştirin.</w:t>
      </w:r>
    </w:p>
    <w:p w:rsidR="00147329" w:rsidRPr="00147329" w:rsidRDefault="00147329" w:rsidP="00CB16FA">
      <w:pPr>
        <w:tabs>
          <w:tab w:val="num" w:pos="900"/>
        </w:tabs>
        <w:ind w:left="714"/>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10. Düşmeye karşı tedbir olarak alınmış korkuluk ve eteklikleri sökmeyin, çıkartmayın, eğer iş bu korkulukların sökülmesini gerektiriyorsa güvenlik kemeri gibi diğer tedbirleri kullanın.</w:t>
      </w:r>
    </w:p>
    <w:p w:rsidR="00147329" w:rsidRPr="00147329" w:rsidRDefault="00147329" w:rsidP="00CB16FA">
      <w:pPr>
        <w:tabs>
          <w:tab w:val="num" w:pos="900"/>
        </w:tabs>
        <w:ind w:left="714"/>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11. Yüksekte yapacağınız çalışmalarınızı gözlem altında yapın, tek başınıza hareket etmeyin.</w:t>
      </w:r>
    </w:p>
    <w:p w:rsidR="00147329" w:rsidRPr="00147329" w:rsidRDefault="00147329" w:rsidP="00CB16FA">
      <w:pPr>
        <w:tabs>
          <w:tab w:val="num" w:pos="900"/>
        </w:tabs>
        <w:ind w:left="714"/>
        <w:jc w:val="both"/>
        <w:rPr>
          <w:rFonts w:ascii="Times New Roman" w:eastAsia="TimesNewRomanPSMT" w:hAnsi="Times New Roman"/>
          <w:color w:val="000000"/>
          <w:szCs w:val="24"/>
        </w:rPr>
      </w:pPr>
    </w:p>
    <w:p w:rsidR="00147329" w:rsidRPr="00147329" w:rsidRDefault="00147329" w:rsidP="00CB16FA">
      <w:pPr>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12. Koruyucu baretlerinizi yüksekte çalışırken mutlaka giyin. Yaptığınız işe uygun sağlamlıkta ve rahat kullanımı olan baretleri tercih edin. Baretin başınızdan düşmemesi için boynunuza sabitleme ip koruyucularını takın.</w:t>
      </w:r>
    </w:p>
    <w:p w:rsidR="00147329" w:rsidRPr="00147329" w:rsidRDefault="00147329" w:rsidP="00CB16FA">
      <w:pPr>
        <w:ind w:left="714"/>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13. Kaymayı önleyici ve delinmeye dayanıklı ayakkabılarınızı çalışma alanlarında mutlaka giyin.</w:t>
      </w:r>
    </w:p>
    <w:p w:rsidR="00147329" w:rsidRPr="00147329" w:rsidRDefault="00147329" w:rsidP="00CB16FA">
      <w:pPr>
        <w:tabs>
          <w:tab w:val="num" w:pos="900"/>
        </w:tabs>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14. Boru ve madeni iskeleler statik elektriğe karşı uygun şekilde topraklanacaktır. Bu koşullar sağlanmadan iskele üzerine çıkmayın.</w:t>
      </w:r>
    </w:p>
    <w:p w:rsidR="00147329" w:rsidRPr="00147329" w:rsidRDefault="00147329" w:rsidP="00CB16FA">
      <w:pPr>
        <w:tabs>
          <w:tab w:val="num" w:pos="900"/>
        </w:tabs>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 xml:space="preserve">15. Yüksekte yapılan çalışmalar ancak uygun </w:t>
      </w:r>
      <w:proofErr w:type="gramStart"/>
      <w:r w:rsidRPr="00147329">
        <w:rPr>
          <w:rFonts w:ascii="Times New Roman" w:eastAsia="TimesNewRomanPSMT" w:hAnsi="Times New Roman"/>
          <w:color w:val="000000"/>
          <w:szCs w:val="24"/>
        </w:rPr>
        <w:t>ekipmanlarla</w:t>
      </w:r>
      <w:proofErr w:type="gramEnd"/>
      <w:r w:rsidRPr="00147329">
        <w:rPr>
          <w:rFonts w:ascii="Times New Roman" w:eastAsia="TimesNewRomanPSMT" w:hAnsi="Times New Roman"/>
          <w:color w:val="000000"/>
          <w:szCs w:val="24"/>
        </w:rPr>
        <w:t xml:space="preserve"> veya korkuluklar, platformlar, güvenlik ağları gibi toplu koruma araçları kullanılarak yapılmalıdır. İşin doğası gereği toplu koruma önlemlerinin uygulanmasının mümkün olmadığı hallerde, çalışma yerine ulaşılması için uygun araçlar sağlanacak, (sepetli iş makinaları, yükseklikli çalışma platformları vb.) çalışılan yerde vücut tipi emniyet kemeri veya benzeri güvenlik yöntemleri kullanılacaktır.</w:t>
      </w:r>
    </w:p>
    <w:p w:rsidR="00147329" w:rsidRPr="00147329" w:rsidRDefault="00147329" w:rsidP="00CB16FA">
      <w:pPr>
        <w:tabs>
          <w:tab w:val="num" w:pos="900"/>
        </w:tabs>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 xml:space="preserve">16. Bütün kaldırma araçları ile (insan taşıyan sepetli iş makinaları, yükseklikli çalışma platformları vb.) bağlantıları, sabitleme ve destekleme elemanları da </w:t>
      </w:r>
      <w:proofErr w:type="gramStart"/>
      <w:r w:rsidRPr="00147329">
        <w:rPr>
          <w:rFonts w:ascii="Times New Roman" w:eastAsia="TimesNewRomanPSMT" w:hAnsi="Times New Roman"/>
          <w:color w:val="000000"/>
          <w:szCs w:val="24"/>
        </w:rPr>
        <w:t>dahil</w:t>
      </w:r>
      <w:proofErr w:type="gramEnd"/>
      <w:r w:rsidRPr="00147329">
        <w:rPr>
          <w:rFonts w:ascii="Times New Roman" w:eastAsia="TimesNewRomanPSMT" w:hAnsi="Times New Roman"/>
          <w:color w:val="000000"/>
          <w:szCs w:val="24"/>
        </w:rPr>
        <w:t xml:space="preserve"> bütün yardımcı kısımları; kullanım amacına uygun ve yeterli sağlamlıkta tasarlanmış ve imal edilmiş olacak, doğru şekilde kurulacak ve kullanılacak, her zaman iyi çalışabilir durumda olacak, yürürlükteki mevzuata göre, periyodik olarak kontrol, test ve deneyleri yapılmış olacak, bu konuda eğitim almış ehil kişilerce kullanılacaktır.</w:t>
      </w:r>
    </w:p>
    <w:p w:rsidR="00147329" w:rsidRPr="00147329" w:rsidRDefault="00147329" w:rsidP="00CB16FA">
      <w:pPr>
        <w:spacing w:after="160" w:line="259" w:lineRule="auto"/>
        <w:ind w:left="720"/>
        <w:contextualSpacing/>
        <w:jc w:val="both"/>
        <w:rPr>
          <w:rFonts w:ascii="Times New Roman" w:eastAsia="TimesNewRomanPSMT" w:hAnsi="Times New Roman"/>
          <w:color w:val="000000"/>
          <w:szCs w:val="24"/>
        </w:rPr>
      </w:pPr>
    </w:p>
    <w:p w:rsidR="00147329" w:rsidRPr="00147329" w:rsidRDefault="00147329" w:rsidP="00CB16FA">
      <w:pPr>
        <w:tabs>
          <w:tab w:val="num" w:pos="900"/>
        </w:tabs>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 xml:space="preserve">17. Çalışma platformları, geçitler ve iskele platformları çalışanları düşmekten ve cisimlerden koruyacak şekilde yapılmalıdır. </w:t>
      </w:r>
    </w:p>
    <w:p w:rsidR="00147329" w:rsidRPr="00147329" w:rsidRDefault="00147329" w:rsidP="00CB16FA">
      <w:pPr>
        <w:spacing w:after="160" w:line="259" w:lineRule="auto"/>
        <w:ind w:left="720"/>
        <w:contextualSpacing/>
        <w:jc w:val="both"/>
        <w:rPr>
          <w:rFonts w:ascii="Times New Roman" w:eastAsia="TimesNewRomanPSMT" w:hAnsi="Times New Roman"/>
          <w:color w:val="000000"/>
          <w:szCs w:val="24"/>
        </w:rPr>
      </w:pP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 xml:space="preserve">18. Merdivenler yeterli sağlamlıkta olacak ve uygun şekilde bakım ve muhafazası sağlanacaktır. Bunlar uygun yerlerde ve amaçlarına uygun olarak doğru bir şekilde kullanılmalıdır. </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19. Seyyar iskeleler kendiliğinden hareket etmemesi için gerekli önlemler alınmalıdır.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20. Çatı eğimlerinin 45 dereceyi aştığı durumlarda, çatı, kaymayı önleyici çatı el merdiveni ya da iskele platformu gibi bir destek sistemi olmaksızın çalışmaya uygun değildir. Gerekli tedbirler alınmadan kesinlikle çatı üzerine çıkılmayacaktır.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21. İşçilerin çatı üzerinde veya kenarında, kırılgan malzemeden yapılmış herhangi bir yüzey üzerinde çalışmak zorunda olduğu hallerde; kırılgan maddeden yapılmış yüzeyde dalgınlıkla yürümelerini veya yere düşmelerini önleyecek önlemler alınmalıdır.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 xml:space="preserve">22. İskele çalışmalarında emniyetli çalışma sistemleri olmalıdır. Böyle bir sistem yoksa iskele çalışanları paraşüt tipi emniyet kemeri kullanmalıdır. </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 xml:space="preserve">23. Eğitimsiz personel asla enerji hatlarının yukarısında çalışmamalıdır. </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 xml:space="preserve">24. El merdivenleri alana girmek ya da alandan çıkmak amacıyla veya platform olarak kullanılmamalıdır. </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 xml:space="preserve">25. Kaldırma </w:t>
      </w:r>
      <w:proofErr w:type="gramStart"/>
      <w:r w:rsidRPr="00147329">
        <w:rPr>
          <w:rFonts w:ascii="Times New Roman" w:eastAsia="TimesNewRomanPSMT" w:hAnsi="Times New Roman"/>
          <w:color w:val="000000"/>
          <w:szCs w:val="24"/>
        </w:rPr>
        <w:t>ekipmanı</w:t>
      </w:r>
      <w:proofErr w:type="gramEnd"/>
      <w:r w:rsidRPr="00147329">
        <w:rPr>
          <w:rFonts w:ascii="Times New Roman" w:eastAsia="TimesNewRomanPSMT" w:hAnsi="Times New Roman"/>
          <w:color w:val="000000"/>
          <w:szCs w:val="24"/>
        </w:rPr>
        <w:t xml:space="preserve"> ve aksesuarları belirlenen amacı dışında kullanılmamalıdır.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26. Vinçle yapılacak çalışmalarda, yüklerin kaldırılmaları indirilmeleri veya taşınmaları, yetiştirilmiş manevracılar tarafından verilecek el ve kol işaretlerine göre yapılmalıdır.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27. Vinçle yapılacak çalışmalarda birden çok işçi görevli bulunduğu hallerde, vinç operatörü, bağlayıcı, sapancı veya diğer görevlilerden yalnız birinden işaret almalı ve işaretçi, operatör tarafından kolayca görülebilecek yerlerde durmalıdır.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28. Operatör, her kim tarafından verilirse verilsin, her dur işaretini daima yerine getirmelidir.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29. Yükler dik olarak kaldırılacaktır. Bunların eğik olarak kaldırılması zorunlu olduğu hallerde manevralar, sorumlu bir elemanın gözetiminde yapılacak ve yük sallanmalarına ve yükün kötü durumuna, karşı, gerekli tedbirler alınacaktır.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30. İndirilen bir yükün altından sapan halatının çekilmesi için kumanda vermeden önce işaretçi, işçilerin güvenliğini sağlayacaktır.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31. Vincin yüksüz hareket ettirilmesi gerektiğinde, istifçi veya sapancılar, işaretçiye hareket işaretini vermeden önce, denk veya sapan halatlarını kancaya uygun bir şekilde takacaklar ve operatör de kancayı, yeter bir yükseklikte tutacaktır.</w:t>
      </w:r>
    </w:p>
    <w:p w:rsidR="00147329"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32. Operatör, vinçte bir yük asılı bulunduğu sürece makinesinin başından ayrılmayacaktır.</w:t>
      </w:r>
    </w:p>
    <w:p w:rsidR="007E57D7" w:rsidRPr="00147329" w:rsidRDefault="00147329" w:rsidP="00CB16FA">
      <w:pPr>
        <w:spacing w:after="160" w:line="259" w:lineRule="auto"/>
        <w:jc w:val="both"/>
        <w:rPr>
          <w:rFonts w:ascii="Times New Roman" w:eastAsia="TimesNewRomanPSMT" w:hAnsi="Times New Roman"/>
          <w:color w:val="000000"/>
          <w:szCs w:val="24"/>
        </w:rPr>
      </w:pPr>
      <w:r w:rsidRPr="00147329">
        <w:rPr>
          <w:rFonts w:ascii="Times New Roman" w:eastAsia="TimesNewRomanPSMT" w:hAnsi="Times New Roman"/>
          <w:color w:val="000000"/>
          <w:szCs w:val="24"/>
        </w:rPr>
        <w:t xml:space="preserve">     </w:t>
      </w:r>
    </w:p>
    <w:sectPr w:rsidR="007E57D7" w:rsidRPr="00147329"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3A" w:rsidRDefault="005D063A">
      <w:r>
        <w:separator/>
      </w:r>
    </w:p>
  </w:endnote>
  <w:endnote w:type="continuationSeparator" w:id="0">
    <w:p w:rsidR="005D063A" w:rsidRDefault="005D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3A" w:rsidRDefault="005D063A">
      <w:r>
        <w:separator/>
      </w:r>
    </w:p>
  </w:footnote>
  <w:footnote w:type="continuationSeparator" w:id="0">
    <w:p w:rsidR="005D063A" w:rsidRDefault="005D0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218151CB" wp14:editId="792B98A8">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960B88" w:rsidRPr="007E57D7" w:rsidRDefault="006F21C0" w:rsidP="00960B88">
          <w:pPr>
            <w:jc w:val="center"/>
            <w:rPr>
              <w:rFonts w:ascii="Times New Roman" w:hAnsi="Times New Roman"/>
              <w:b/>
              <w:sz w:val="20"/>
            </w:rPr>
          </w:pPr>
          <w:r>
            <w:rPr>
              <w:rFonts w:ascii="Times New Roman" w:hAnsi="Times New Roman"/>
              <w:b/>
              <w:sz w:val="20"/>
            </w:rPr>
            <w:t>Ardahan</w:t>
          </w:r>
          <w:r>
            <w:rPr>
              <w:rFonts w:ascii="Times New Roman" w:hAnsi="Times New Roman"/>
              <w:b/>
              <w:sz w:val="20"/>
            </w:rPr>
            <w:t xml:space="preserve"> </w:t>
          </w:r>
          <w:r w:rsidR="00960B88" w:rsidRPr="007E57D7">
            <w:rPr>
              <w:rFonts w:ascii="Times New Roman" w:hAnsi="Times New Roman"/>
              <w:b/>
              <w:sz w:val="20"/>
            </w:rPr>
            <w:t xml:space="preserve">İl Milli Eğitim Müdürlüğü </w:t>
          </w:r>
        </w:p>
        <w:p w:rsidR="00960B88" w:rsidRPr="007E57D7" w:rsidRDefault="00960B88" w:rsidP="00960B88">
          <w:pPr>
            <w:jc w:val="center"/>
            <w:rPr>
              <w:rFonts w:ascii="Times New Roman" w:hAnsi="Times New Roman"/>
              <w:b/>
              <w:sz w:val="20"/>
            </w:rPr>
          </w:pPr>
          <w:proofErr w:type="gramStart"/>
          <w:r w:rsidRPr="007E57D7">
            <w:rPr>
              <w:rFonts w:ascii="Times New Roman" w:hAnsi="Times New Roman"/>
              <w:b/>
              <w:sz w:val="20"/>
            </w:rPr>
            <w:t>……………………..</w:t>
          </w:r>
          <w:proofErr w:type="gramEnd"/>
          <w:r w:rsidRPr="007E57D7">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45324F">
            <w:rPr>
              <w:rFonts w:ascii="Times New Roman" w:hAnsi="Times New Roman"/>
              <w:noProof/>
              <w:position w:val="-28"/>
              <w:sz w:val="20"/>
            </w:rPr>
            <w:t>TL</w:t>
          </w:r>
          <w:r w:rsidR="007E57D7">
            <w:rPr>
              <w:rFonts w:ascii="Times New Roman" w:hAnsi="Times New Roman"/>
              <w:noProof/>
              <w:position w:val="-28"/>
              <w:sz w:val="20"/>
            </w:rPr>
            <w:t>-</w:t>
          </w:r>
          <w:r w:rsidR="00265345">
            <w:rPr>
              <w:rFonts w:ascii="Times New Roman" w:hAnsi="Times New Roman"/>
              <w:noProof/>
              <w:position w:val="-28"/>
              <w:sz w:val="20"/>
            </w:rPr>
            <w:t>7</w:t>
          </w:r>
          <w:r w:rsidR="00AF72A2">
            <w:rPr>
              <w:rFonts w:ascii="Times New Roman" w:hAnsi="Times New Roman"/>
              <w:noProof/>
              <w:position w:val="-28"/>
              <w:sz w:val="20"/>
            </w:rPr>
            <w:t>1</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661B39">
            <w:rPr>
              <w:rFonts w:ascii="Times New Roman" w:hAnsi="Times New Roman"/>
              <w:noProof/>
              <w:position w:val="-28"/>
              <w:sz w:val="20"/>
            </w:rPr>
            <w:t>13</w:t>
          </w:r>
          <w:r w:rsidR="00A86108" w:rsidRPr="007E57D7">
            <w:rPr>
              <w:rFonts w:ascii="Times New Roman" w:hAnsi="Times New Roman"/>
              <w:noProof/>
              <w:position w:val="-28"/>
              <w:sz w:val="20"/>
            </w:rPr>
            <w:t>/0</w:t>
          </w:r>
          <w:r w:rsidR="00C84FF6">
            <w:rPr>
              <w:rFonts w:ascii="Times New Roman" w:hAnsi="Times New Roman"/>
              <w:noProof/>
              <w:position w:val="-28"/>
              <w:sz w:val="20"/>
            </w:rPr>
            <w:t>4</w:t>
          </w:r>
          <w:r w:rsidRPr="007E57D7">
            <w:rPr>
              <w:rFonts w:ascii="Times New Roman" w:hAnsi="Times New Roman"/>
              <w:noProof/>
              <w:position w:val="-28"/>
              <w:sz w:val="20"/>
            </w:rPr>
            <w:t>/2016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6F21C0">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6F21C0">
            <w:rPr>
              <w:rFonts w:ascii="Times New Roman" w:hAnsi="Times New Roman"/>
              <w:noProof/>
              <w:position w:val="-28"/>
              <w:sz w:val="20"/>
            </w:rPr>
            <w:t>2</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147329" w:rsidP="00661B39">
          <w:pPr>
            <w:jc w:val="center"/>
            <w:rPr>
              <w:rFonts w:ascii="Times New Roman" w:hAnsi="Times New Roman"/>
              <w:b/>
              <w:sz w:val="20"/>
            </w:rPr>
          </w:pPr>
          <w:r w:rsidRPr="00147329">
            <w:rPr>
              <w:rFonts w:ascii="Times New Roman" w:hAnsi="Times New Roman"/>
              <w:b/>
              <w:sz w:val="20"/>
            </w:rPr>
            <w:t>Yüksekte Çalışma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DC0ACA"/>
    <w:multiLevelType w:val="hybridMultilevel"/>
    <w:tmpl w:val="44468434"/>
    <w:lvl w:ilvl="0" w:tplc="041F000F">
      <w:start w:val="1"/>
      <w:numFmt w:val="decimal"/>
      <w:lvlText w:val="%1."/>
      <w:lvlJc w:val="left"/>
      <w:pPr>
        <w:tabs>
          <w:tab w:val="num" w:pos="660"/>
        </w:tabs>
        <w:ind w:left="660" w:hanging="360"/>
      </w:pPr>
    </w:lvl>
    <w:lvl w:ilvl="1" w:tplc="041F0019" w:tentative="1">
      <w:start w:val="1"/>
      <w:numFmt w:val="lowerLetter"/>
      <w:lvlText w:val="%2."/>
      <w:lvlJc w:val="left"/>
      <w:pPr>
        <w:tabs>
          <w:tab w:val="num" w:pos="1380"/>
        </w:tabs>
        <w:ind w:left="1380" w:hanging="360"/>
      </w:pPr>
    </w:lvl>
    <w:lvl w:ilvl="2" w:tplc="041F001B" w:tentative="1">
      <w:start w:val="1"/>
      <w:numFmt w:val="lowerRoman"/>
      <w:lvlText w:val="%3."/>
      <w:lvlJc w:val="right"/>
      <w:pPr>
        <w:tabs>
          <w:tab w:val="num" w:pos="2100"/>
        </w:tabs>
        <w:ind w:left="2100" w:hanging="180"/>
      </w:pPr>
    </w:lvl>
    <w:lvl w:ilvl="3" w:tplc="041F000F" w:tentative="1">
      <w:start w:val="1"/>
      <w:numFmt w:val="decimal"/>
      <w:lvlText w:val="%4."/>
      <w:lvlJc w:val="left"/>
      <w:pPr>
        <w:tabs>
          <w:tab w:val="num" w:pos="2820"/>
        </w:tabs>
        <w:ind w:left="2820" w:hanging="360"/>
      </w:pPr>
    </w:lvl>
    <w:lvl w:ilvl="4" w:tplc="041F0019" w:tentative="1">
      <w:start w:val="1"/>
      <w:numFmt w:val="lowerLetter"/>
      <w:lvlText w:val="%5."/>
      <w:lvlJc w:val="left"/>
      <w:pPr>
        <w:tabs>
          <w:tab w:val="num" w:pos="3540"/>
        </w:tabs>
        <w:ind w:left="3540" w:hanging="360"/>
      </w:pPr>
    </w:lvl>
    <w:lvl w:ilvl="5" w:tplc="041F001B" w:tentative="1">
      <w:start w:val="1"/>
      <w:numFmt w:val="lowerRoman"/>
      <w:lvlText w:val="%6."/>
      <w:lvlJc w:val="right"/>
      <w:pPr>
        <w:tabs>
          <w:tab w:val="num" w:pos="4260"/>
        </w:tabs>
        <w:ind w:left="4260" w:hanging="180"/>
      </w:pPr>
    </w:lvl>
    <w:lvl w:ilvl="6" w:tplc="041F000F" w:tentative="1">
      <w:start w:val="1"/>
      <w:numFmt w:val="decimal"/>
      <w:lvlText w:val="%7."/>
      <w:lvlJc w:val="left"/>
      <w:pPr>
        <w:tabs>
          <w:tab w:val="num" w:pos="4980"/>
        </w:tabs>
        <w:ind w:left="4980" w:hanging="360"/>
      </w:pPr>
    </w:lvl>
    <w:lvl w:ilvl="7" w:tplc="041F0019" w:tentative="1">
      <w:start w:val="1"/>
      <w:numFmt w:val="lowerLetter"/>
      <w:lvlText w:val="%8."/>
      <w:lvlJc w:val="left"/>
      <w:pPr>
        <w:tabs>
          <w:tab w:val="num" w:pos="5700"/>
        </w:tabs>
        <w:ind w:left="5700" w:hanging="360"/>
      </w:pPr>
    </w:lvl>
    <w:lvl w:ilvl="8" w:tplc="041F001B" w:tentative="1">
      <w:start w:val="1"/>
      <w:numFmt w:val="lowerRoman"/>
      <w:lvlText w:val="%9."/>
      <w:lvlJc w:val="right"/>
      <w:pPr>
        <w:tabs>
          <w:tab w:val="num" w:pos="6420"/>
        </w:tabs>
        <w:ind w:left="642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1"/>
  </w:num>
  <w:num w:numId="7">
    <w:abstractNumId w:val="5"/>
  </w:num>
  <w:num w:numId="8">
    <w:abstractNumId w:val="10"/>
  </w:num>
  <w:num w:numId="9">
    <w:abstractNumId w:val="9"/>
  </w:num>
  <w:num w:numId="10">
    <w:abstractNumId w:val="0"/>
  </w:num>
  <w:num w:numId="11">
    <w:abstractNumId w:val="4"/>
  </w:num>
  <w:num w:numId="12">
    <w:abstractNumId w:val="12"/>
  </w:num>
  <w:num w:numId="13">
    <w:abstractNumId w:val="14"/>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275B2"/>
    <w:rsid w:val="00061104"/>
    <w:rsid w:val="00076E64"/>
    <w:rsid w:val="000A4474"/>
    <w:rsid w:val="000B7CF3"/>
    <w:rsid w:val="000D1503"/>
    <w:rsid w:val="000D54D9"/>
    <w:rsid w:val="000F1A60"/>
    <w:rsid w:val="00122899"/>
    <w:rsid w:val="00136CD1"/>
    <w:rsid w:val="00143F33"/>
    <w:rsid w:val="0014403E"/>
    <w:rsid w:val="00145D13"/>
    <w:rsid w:val="00147329"/>
    <w:rsid w:val="001D55D5"/>
    <w:rsid w:val="001F5C66"/>
    <w:rsid w:val="00206246"/>
    <w:rsid w:val="00227BD7"/>
    <w:rsid w:val="002321A1"/>
    <w:rsid w:val="00254DBF"/>
    <w:rsid w:val="00265345"/>
    <w:rsid w:val="002710E1"/>
    <w:rsid w:val="00282D2F"/>
    <w:rsid w:val="00285166"/>
    <w:rsid w:val="00296AB0"/>
    <w:rsid w:val="002A2AF9"/>
    <w:rsid w:val="0033030E"/>
    <w:rsid w:val="00342A22"/>
    <w:rsid w:val="00365FB6"/>
    <w:rsid w:val="00367BBB"/>
    <w:rsid w:val="0039467D"/>
    <w:rsid w:val="003A695E"/>
    <w:rsid w:val="003B0473"/>
    <w:rsid w:val="003C74CB"/>
    <w:rsid w:val="003D3992"/>
    <w:rsid w:val="003D5E35"/>
    <w:rsid w:val="003E192B"/>
    <w:rsid w:val="004036C7"/>
    <w:rsid w:val="0044445B"/>
    <w:rsid w:val="00450B49"/>
    <w:rsid w:val="0045324F"/>
    <w:rsid w:val="00465982"/>
    <w:rsid w:val="0048007E"/>
    <w:rsid w:val="00492053"/>
    <w:rsid w:val="00496171"/>
    <w:rsid w:val="0049621B"/>
    <w:rsid w:val="004B01CE"/>
    <w:rsid w:val="004C2073"/>
    <w:rsid w:val="004D5EF3"/>
    <w:rsid w:val="004E3300"/>
    <w:rsid w:val="00521A4A"/>
    <w:rsid w:val="00524034"/>
    <w:rsid w:val="0054640B"/>
    <w:rsid w:val="0056141D"/>
    <w:rsid w:val="005977A7"/>
    <w:rsid w:val="005B112C"/>
    <w:rsid w:val="005C2378"/>
    <w:rsid w:val="005D063A"/>
    <w:rsid w:val="005E2673"/>
    <w:rsid w:val="005F1013"/>
    <w:rsid w:val="00612B3A"/>
    <w:rsid w:val="006239CA"/>
    <w:rsid w:val="00645913"/>
    <w:rsid w:val="00661B39"/>
    <w:rsid w:val="0067568F"/>
    <w:rsid w:val="006766F1"/>
    <w:rsid w:val="006B6F54"/>
    <w:rsid w:val="006D1821"/>
    <w:rsid w:val="006D6884"/>
    <w:rsid w:val="006D6CDC"/>
    <w:rsid w:val="006E2E3E"/>
    <w:rsid w:val="006F0EE8"/>
    <w:rsid w:val="006F21C0"/>
    <w:rsid w:val="006F3C80"/>
    <w:rsid w:val="006F6120"/>
    <w:rsid w:val="00707F57"/>
    <w:rsid w:val="00733B15"/>
    <w:rsid w:val="007458CA"/>
    <w:rsid w:val="007D3B89"/>
    <w:rsid w:val="007E57D7"/>
    <w:rsid w:val="007E6DBB"/>
    <w:rsid w:val="007F55A5"/>
    <w:rsid w:val="0080362E"/>
    <w:rsid w:val="00807898"/>
    <w:rsid w:val="00813119"/>
    <w:rsid w:val="008173B3"/>
    <w:rsid w:val="00832215"/>
    <w:rsid w:val="008356B9"/>
    <w:rsid w:val="00846862"/>
    <w:rsid w:val="008B395A"/>
    <w:rsid w:val="00917D41"/>
    <w:rsid w:val="00960B88"/>
    <w:rsid w:val="00980661"/>
    <w:rsid w:val="00982A3E"/>
    <w:rsid w:val="009D2672"/>
    <w:rsid w:val="009E1B63"/>
    <w:rsid w:val="009F65ED"/>
    <w:rsid w:val="00A12F46"/>
    <w:rsid w:val="00A532A6"/>
    <w:rsid w:val="00A657AB"/>
    <w:rsid w:val="00A66EC6"/>
    <w:rsid w:val="00A76B95"/>
    <w:rsid w:val="00A86108"/>
    <w:rsid w:val="00AA6846"/>
    <w:rsid w:val="00AB2C16"/>
    <w:rsid w:val="00AB6964"/>
    <w:rsid w:val="00AB7EE7"/>
    <w:rsid w:val="00AF72A2"/>
    <w:rsid w:val="00B10153"/>
    <w:rsid w:val="00B12354"/>
    <w:rsid w:val="00B45026"/>
    <w:rsid w:val="00B8479A"/>
    <w:rsid w:val="00BA0BCB"/>
    <w:rsid w:val="00BB0DA7"/>
    <w:rsid w:val="00BC4DCC"/>
    <w:rsid w:val="00BE2E6D"/>
    <w:rsid w:val="00BF038E"/>
    <w:rsid w:val="00C436F8"/>
    <w:rsid w:val="00C8067C"/>
    <w:rsid w:val="00C84FF6"/>
    <w:rsid w:val="00C941AD"/>
    <w:rsid w:val="00C9575D"/>
    <w:rsid w:val="00CA42BC"/>
    <w:rsid w:val="00CB16FA"/>
    <w:rsid w:val="00CB4A93"/>
    <w:rsid w:val="00CD7B6B"/>
    <w:rsid w:val="00CF6068"/>
    <w:rsid w:val="00D3719C"/>
    <w:rsid w:val="00D9542E"/>
    <w:rsid w:val="00DB324C"/>
    <w:rsid w:val="00DC18F4"/>
    <w:rsid w:val="00DD0B53"/>
    <w:rsid w:val="00DE5AEC"/>
    <w:rsid w:val="00E25345"/>
    <w:rsid w:val="00E404FE"/>
    <w:rsid w:val="00E46F80"/>
    <w:rsid w:val="00E53B68"/>
    <w:rsid w:val="00E54933"/>
    <w:rsid w:val="00E678D5"/>
    <w:rsid w:val="00E80936"/>
    <w:rsid w:val="00EA7923"/>
    <w:rsid w:val="00EE2338"/>
    <w:rsid w:val="00EF09F2"/>
    <w:rsid w:val="00F20360"/>
    <w:rsid w:val="00F50483"/>
    <w:rsid w:val="00F5087E"/>
    <w:rsid w:val="00F703A1"/>
    <w:rsid w:val="00F90595"/>
    <w:rsid w:val="00FA3CC6"/>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02BCE-5A06-45FA-86C8-7AE0758C3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794</Words>
  <Characters>4528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MuhsinOKCU</cp:lastModifiedBy>
  <cp:revision>45</cp:revision>
  <cp:lastPrinted>2010-12-20T21:35:00Z</cp:lastPrinted>
  <dcterms:created xsi:type="dcterms:W3CDTF">2016-03-28T12:45:00Z</dcterms:created>
  <dcterms:modified xsi:type="dcterms:W3CDTF">2017-09-18T13:13:00Z</dcterms:modified>
</cp:coreProperties>
</file>